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CC04F" w14:textId="77777777" w:rsidR="0009462E" w:rsidRDefault="0009462E" w:rsidP="0009462E">
      <w:pPr>
        <w:rPr>
          <w:rFonts w:ascii="Open Sans" w:hAnsi="Open Sans" w:cs="Open Sans"/>
          <w:b/>
          <w:bCs/>
        </w:rPr>
      </w:pPr>
      <w:r w:rsidRPr="0029540D">
        <w:rPr>
          <w:rFonts w:ascii="Open Sans" w:hAnsi="Open Sans" w:cs="Open Sans"/>
          <w:b/>
          <w:bCs/>
        </w:rPr>
        <w:t>The National Archives</w:t>
      </w:r>
    </w:p>
    <w:p w14:paraId="68703BC2" w14:textId="2B698B81" w:rsidR="00AC2095" w:rsidRPr="00930799" w:rsidRDefault="00AC2095" w:rsidP="0009462E">
      <w:pPr>
        <w:rPr>
          <w:rFonts w:ascii="Open Sans" w:hAnsi="Open Sans" w:cs="Open Sans"/>
          <w:b/>
          <w:bCs/>
        </w:rPr>
      </w:pPr>
      <w:r w:rsidRPr="00930799">
        <w:rPr>
          <w:rFonts w:ascii="Open Sans" w:hAnsi="Open Sans" w:cs="Open Sans"/>
          <w:b/>
          <w:bCs/>
        </w:rPr>
        <w:t>Working with the High Court of Admiralty</w:t>
      </w:r>
      <w:r w:rsidR="001D22F4">
        <w:rPr>
          <w:rFonts w:ascii="Open Sans" w:hAnsi="Open Sans" w:cs="Open Sans"/>
          <w:b/>
          <w:bCs/>
        </w:rPr>
        <w:t>’s</w:t>
      </w:r>
      <w:r w:rsidRPr="00930799">
        <w:rPr>
          <w:rFonts w:ascii="Open Sans" w:hAnsi="Open Sans" w:cs="Open Sans"/>
          <w:b/>
          <w:bCs/>
        </w:rPr>
        <w:t xml:space="preserve"> records</w:t>
      </w:r>
    </w:p>
    <w:p w14:paraId="461A7D93" w14:textId="090A62F9" w:rsidR="00D7335D" w:rsidRPr="0029540D" w:rsidRDefault="0009462E" w:rsidP="000701C4">
      <w:pPr>
        <w:spacing w:before="240"/>
        <w:rPr>
          <w:rFonts w:ascii="Open Sans" w:hAnsi="Open Sans" w:cs="Open Sans"/>
        </w:rPr>
      </w:pPr>
      <w:r w:rsidRPr="0029540D">
        <w:rPr>
          <w:rFonts w:ascii="Open Sans" w:hAnsi="Open Sans" w:cs="Open Sans"/>
        </w:rPr>
        <w:t xml:space="preserve">As the archive of Crown and State government, The National Archives (TNA) holds a vast range of records on life in the British Isles and beyond over the past 1000 years. TNA is pleased to invite </w:t>
      </w:r>
      <w:r w:rsidR="008A63C0" w:rsidRPr="0029540D">
        <w:rPr>
          <w:rFonts w:ascii="Open Sans" w:hAnsi="Open Sans" w:cs="Open Sans"/>
        </w:rPr>
        <w:t>students on a placement for six</w:t>
      </w:r>
      <w:r w:rsidRPr="0029540D">
        <w:rPr>
          <w:rFonts w:ascii="Open Sans" w:hAnsi="Open Sans" w:cs="Open Sans"/>
        </w:rPr>
        <w:t xml:space="preserve"> to twelve weeks, full or part time, depending on student requirements. </w:t>
      </w:r>
    </w:p>
    <w:p w14:paraId="3F9EB28C" w14:textId="3AC74811" w:rsidR="00063363" w:rsidRDefault="0009462E" w:rsidP="00EF1647">
      <w:pPr>
        <w:spacing w:before="240"/>
        <w:rPr>
          <w:rFonts w:ascii="Open Sans" w:hAnsi="Open Sans" w:cs="Open Sans"/>
        </w:rPr>
      </w:pPr>
      <w:r w:rsidRPr="0029540D">
        <w:rPr>
          <w:rFonts w:ascii="Open Sans" w:hAnsi="Open Sans" w:cs="Open Sans"/>
        </w:rPr>
        <w:t>We currently have a placement opportunity in</w:t>
      </w:r>
      <w:r w:rsidR="00504E47">
        <w:rPr>
          <w:rFonts w:ascii="Open Sans" w:hAnsi="Open Sans" w:cs="Open Sans"/>
        </w:rPr>
        <w:t xml:space="preserve"> the</w:t>
      </w:r>
      <w:r w:rsidRPr="0029540D">
        <w:rPr>
          <w:rFonts w:ascii="Open Sans" w:hAnsi="Open Sans" w:cs="Open Sans"/>
        </w:rPr>
        <w:t xml:space="preserve"> Collections Expertise and Engagement department, </w:t>
      </w:r>
      <w:r w:rsidR="0051414D" w:rsidRPr="0029540D">
        <w:rPr>
          <w:rFonts w:ascii="Open Sans" w:hAnsi="Open Sans" w:cs="Open Sans"/>
        </w:rPr>
        <w:t>working with</w:t>
      </w:r>
      <w:r w:rsidR="00D7335D" w:rsidRPr="0029540D">
        <w:rPr>
          <w:rFonts w:ascii="Open Sans" w:hAnsi="Open Sans" w:cs="Open Sans"/>
        </w:rPr>
        <w:t xml:space="preserve"> the</w:t>
      </w:r>
      <w:r w:rsidR="001D22F4">
        <w:rPr>
          <w:rFonts w:ascii="Open Sans" w:hAnsi="Open Sans" w:cs="Open Sans"/>
        </w:rPr>
        <w:t xml:space="preserve"> </w:t>
      </w:r>
      <w:r w:rsidRPr="0029540D">
        <w:rPr>
          <w:rFonts w:ascii="Open Sans" w:hAnsi="Open Sans" w:cs="Open Sans"/>
        </w:rPr>
        <w:t>diverse</w:t>
      </w:r>
      <w:r w:rsidR="001D22F4">
        <w:rPr>
          <w:rFonts w:ascii="Open Sans" w:hAnsi="Open Sans" w:cs="Open Sans"/>
        </w:rPr>
        <w:t xml:space="preserve"> and largely unexplored</w:t>
      </w:r>
      <w:r w:rsidR="0051414D" w:rsidRPr="0029540D">
        <w:rPr>
          <w:rFonts w:ascii="Open Sans" w:hAnsi="Open Sans" w:cs="Open Sans"/>
        </w:rPr>
        <w:t xml:space="preserve"> records</w:t>
      </w:r>
      <w:r w:rsidRPr="0029540D">
        <w:rPr>
          <w:rFonts w:ascii="Open Sans" w:hAnsi="Open Sans" w:cs="Open Sans"/>
        </w:rPr>
        <w:t xml:space="preserve"> </w:t>
      </w:r>
      <w:r w:rsidR="00822121" w:rsidRPr="0029540D">
        <w:rPr>
          <w:rFonts w:ascii="Open Sans" w:hAnsi="Open Sans" w:cs="Open Sans"/>
        </w:rPr>
        <w:t>of</w:t>
      </w:r>
      <w:r w:rsidRPr="0029540D">
        <w:rPr>
          <w:rFonts w:ascii="Open Sans" w:hAnsi="Open Sans" w:cs="Open Sans"/>
        </w:rPr>
        <w:t xml:space="preserve"> the High Court of Admiralty. </w:t>
      </w:r>
      <w:r w:rsidR="0051414D" w:rsidRPr="0029540D">
        <w:rPr>
          <w:rFonts w:ascii="Open Sans" w:hAnsi="Open Sans" w:cs="Open Sans"/>
        </w:rPr>
        <w:t>The p</w:t>
      </w:r>
      <w:r w:rsidRPr="0029540D">
        <w:rPr>
          <w:rFonts w:ascii="Open Sans" w:hAnsi="Open Sans" w:cs="Open Sans"/>
        </w:rPr>
        <w:t>lacement</w:t>
      </w:r>
      <w:r w:rsidR="001D22F4">
        <w:rPr>
          <w:rFonts w:ascii="Open Sans" w:hAnsi="Open Sans" w:cs="Open Sans"/>
        </w:rPr>
        <w:t xml:space="preserve"> </w:t>
      </w:r>
      <w:r w:rsidRPr="0029540D">
        <w:rPr>
          <w:rFonts w:ascii="Open Sans" w:hAnsi="Open Sans" w:cs="Open Sans"/>
        </w:rPr>
        <w:t>will focus on</w:t>
      </w:r>
      <w:r w:rsidR="0051414D" w:rsidRPr="0029540D">
        <w:rPr>
          <w:rFonts w:ascii="Open Sans" w:hAnsi="Open Sans" w:cs="Open Sans"/>
        </w:rPr>
        <w:t xml:space="preserve"> letters, papers and legal</w:t>
      </w:r>
      <w:r w:rsidRPr="0029540D">
        <w:rPr>
          <w:rFonts w:ascii="Open Sans" w:hAnsi="Open Sans" w:cs="Open Sans"/>
        </w:rPr>
        <w:t xml:space="preserve"> records relating to</w:t>
      </w:r>
      <w:r w:rsidR="00E10F58" w:rsidRPr="0029540D">
        <w:rPr>
          <w:rFonts w:ascii="Open Sans" w:hAnsi="Open Sans" w:cs="Open Sans"/>
        </w:rPr>
        <w:t xml:space="preserve"> early modern</w:t>
      </w:r>
      <w:r w:rsidRPr="0029540D">
        <w:rPr>
          <w:rFonts w:ascii="Open Sans" w:hAnsi="Open Sans" w:cs="Open Sans"/>
        </w:rPr>
        <w:t xml:space="preserve"> piracy, prize-taking</w:t>
      </w:r>
      <w:r w:rsidR="00E10F58" w:rsidRPr="0029540D">
        <w:rPr>
          <w:rFonts w:ascii="Open Sans" w:hAnsi="Open Sans" w:cs="Open Sans"/>
        </w:rPr>
        <w:t>, colonialism</w:t>
      </w:r>
      <w:r w:rsidR="001D22F4">
        <w:rPr>
          <w:rFonts w:ascii="Open Sans" w:hAnsi="Open Sans" w:cs="Open Sans"/>
        </w:rPr>
        <w:t xml:space="preserve"> and</w:t>
      </w:r>
      <w:r w:rsidRPr="0029540D">
        <w:rPr>
          <w:rFonts w:ascii="Open Sans" w:hAnsi="Open Sans" w:cs="Open Sans"/>
        </w:rPr>
        <w:t xml:space="preserve"> overseas </w:t>
      </w:r>
      <w:r w:rsidR="001D22F4">
        <w:rPr>
          <w:rFonts w:ascii="Open Sans" w:hAnsi="Open Sans" w:cs="Open Sans"/>
        </w:rPr>
        <w:t>exchange</w:t>
      </w:r>
      <w:r w:rsidR="0051414D" w:rsidRPr="0029540D">
        <w:rPr>
          <w:rFonts w:ascii="Open Sans" w:hAnsi="Open Sans" w:cs="Open Sans"/>
        </w:rPr>
        <w:t>,</w:t>
      </w:r>
      <w:r w:rsidRPr="0029540D">
        <w:rPr>
          <w:rFonts w:ascii="Open Sans" w:hAnsi="Open Sans" w:cs="Open Sans"/>
        </w:rPr>
        <w:t xml:space="preserve"> 15</w:t>
      </w:r>
      <w:r w:rsidR="00504E47">
        <w:rPr>
          <w:rFonts w:ascii="Open Sans" w:hAnsi="Open Sans" w:cs="Open Sans"/>
        </w:rPr>
        <w:t>36–</w:t>
      </w:r>
      <w:r w:rsidRPr="0029540D">
        <w:rPr>
          <w:rFonts w:ascii="Open Sans" w:hAnsi="Open Sans" w:cs="Open Sans"/>
        </w:rPr>
        <w:t>1</w:t>
      </w:r>
      <w:r w:rsidR="00504E47">
        <w:rPr>
          <w:rFonts w:ascii="Open Sans" w:hAnsi="Open Sans" w:cs="Open Sans"/>
        </w:rPr>
        <w:t>783</w:t>
      </w:r>
      <w:r w:rsidR="00063363">
        <w:rPr>
          <w:rFonts w:ascii="Open Sans" w:hAnsi="Open Sans" w:cs="Open Sans"/>
        </w:rPr>
        <w:t>.</w:t>
      </w:r>
      <w:r w:rsidR="001D22F4">
        <w:rPr>
          <w:rFonts w:ascii="Open Sans" w:hAnsi="Open Sans" w:cs="Open Sans"/>
        </w:rPr>
        <w:t xml:space="preserve"> </w:t>
      </w:r>
      <w:r w:rsidRPr="0029540D">
        <w:rPr>
          <w:rFonts w:ascii="Open Sans" w:hAnsi="Open Sans" w:cs="Open Sans"/>
        </w:rPr>
        <w:t xml:space="preserve">The successful candidate </w:t>
      </w:r>
      <w:r w:rsidR="001D22F4">
        <w:rPr>
          <w:rFonts w:ascii="Open Sans" w:hAnsi="Open Sans" w:cs="Open Sans"/>
        </w:rPr>
        <w:t>has the option</w:t>
      </w:r>
      <w:r w:rsidRPr="0029540D">
        <w:rPr>
          <w:rFonts w:ascii="Open Sans" w:hAnsi="Open Sans" w:cs="Open Sans"/>
        </w:rPr>
        <w:t xml:space="preserve"> </w:t>
      </w:r>
      <w:r w:rsidR="001D22F4">
        <w:rPr>
          <w:rFonts w:ascii="Open Sans" w:hAnsi="Open Sans" w:cs="Open Sans"/>
        </w:rPr>
        <w:t>to work with a number of collections depending on their</w:t>
      </w:r>
      <w:r w:rsidR="00063363">
        <w:rPr>
          <w:rFonts w:ascii="Open Sans" w:hAnsi="Open Sans" w:cs="Open Sans"/>
        </w:rPr>
        <w:t xml:space="preserve"> historical or linguistic</w:t>
      </w:r>
      <w:r w:rsidR="001D22F4">
        <w:rPr>
          <w:rFonts w:ascii="Open Sans" w:hAnsi="Open Sans" w:cs="Open Sans"/>
        </w:rPr>
        <w:t xml:space="preserve"> interests</w:t>
      </w:r>
      <w:r w:rsidR="00063363">
        <w:rPr>
          <w:rFonts w:ascii="Open Sans" w:hAnsi="Open Sans" w:cs="Open Sans"/>
        </w:rPr>
        <w:t>, including,</w:t>
      </w:r>
      <w:r w:rsidR="001D22F4">
        <w:rPr>
          <w:rFonts w:ascii="Open Sans" w:hAnsi="Open Sans" w:cs="Open Sans"/>
        </w:rPr>
        <w:t xml:space="preserve"> but</w:t>
      </w:r>
      <w:r w:rsidR="00063363">
        <w:rPr>
          <w:rFonts w:ascii="Open Sans" w:hAnsi="Open Sans" w:cs="Open Sans"/>
        </w:rPr>
        <w:t xml:space="preserve"> is</w:t>
      </w:r>
      <w:r w:rsidR="001D22F4">
        <w:rPr>
          <w:rFonts w:ascii="Open Sans" w:hAnsi="Open Sans" w:cs="Open Sans"/>
        </w:rPr>
        <w:t xml:space="preserve"> not limited to</w:t>
      </w:r>
      <w:r w:rsidR="00504E47">
        <w:rPr>
          <w:rFonts w:ascii="Open Sans" w:hAnsi="Open Sans" w:cs="Open Sans"/>
        </w:rPr>
        <w:t>,</w:t>
      </w:r>
      <w:r w:rsidR="001D22F4">
        <w:rPr>
          <w:rFonts w:ascii="Open Sans" w:hAnsi="Open Sans" w:cs="Open Sans"/>
        </w:rPr>
        <w:t xml:space="preserve"> early miscellanea</w:t>
      </w:r>
      <w:r w:rsidR="00504E47">
        <w:rPr>
          <w:rFonts w:ascii="Open Sans" w:hAnsi="Open Sans" w:cs="Open Sans"/>
        </w:rPr>
        <w:t xml:space="preserve"> (c.1536–c.1660) </w:t>
      </w:r>
      <w:r w:rsidR="00063363">
        <w:rPr>
          <w:rFonts w:ascii="Open Sans" w:hAnsi="Open Sans" w:cs="Open Sans"/>
        </w:rPr>
        <w:t>and the Prize Papers, which are documents</w:t>
      </w:r>
      <w:r w:rsidR="001D22F4">
        <w:rPr>
          <w:rFonts w:ascii="Open Sans" w:hAnsi="Open Sans" w:cs="Open Sans"/>
        </w:rPr>
        <w:t xml:space="preserve"> </w:t>
      </w:r>
      <w:r w:rsidR="00063363">
        <w:rPr>
          <w:rFonts w:ascii="Open Sans" w:hAnsi="Open Sans" w:cs="Open Sans"/>
        </w:rPr>
        <w:t>seized</w:t>
      </w:r>
      <w:r w:rsidR="001D22F4">
        <w:rPr>
          <w:rFonts w:ascii="Open Sans" w:hAnsi="Open Sans" w:cs="Open Sans"/>
        </w:rPr>
        <w:t xml:space="preserve"> from ships</w:t>
      </w:r>
      <w:r w:rsidR="00063363">
        <w:rPr>
          <w:rFonts w:ascii="Open Sans" w:hAnsi="Open Sans" w:cs="Open Sans"/>
        </w:rPr>
        <w:t xml:space="preserve"> (c.1652-1815)</w:t>
      </w:r>
      <w:r w:rsidR="00504E47">
        <w:rPr>
          <w:rFonts w:ascii="Open Sans" w:hAnsi="Open Sans" w:cs="Open Sans"/>
        </w:rPr>
        <w:t>.</w:t>
      </w:r>
      <w:r w:rsidR="001D22F4">
        <w:rPr>
          <w:rFonts w:ascii="Open Sans" w:hAnsi="Open Sans" w:cs="Open Sans"/>
        </w:rPr>
        <w:t xml:space="preserve"> </w:t>
      </w:r>
      <w:r w:rsidR="00063363">
        <w:rPr>
          <w:rFonts w:ascii="Open Sans" w:hAnsi="Open Sans" w:cs="Open Sans"/>
        </w:rPr>
        <w:t>The records are in English, but with a significant number in other European languages, particularly French, Spanish, Dutch, Swedish and Danish.</w:t>
      </w:r>
    </w:p>
    <w:p w14:paraId="0281A413" w14:textId="278180EA" w:rsidR="000701C4" w:rsidRPr="0029540D" w:rsidRDefault="00504E47" w:rsidP="00EF1647">
      <w:pPr>
        <w:spacing w:before="240"/>
        <w:rPr>
          <w:rFonts w:ascii="Open Sans" w:hAnsi="Open Sans" w:cs="Open Sans"/>
        </w:rPr>
      </w:pPr>
      <w:r>
        <w:rPr>
          <w:rFonts w:ascii="Open Sans" w:hAnsi="Open Sans" w:cs="Open Sans"/>
        </w:rPr>
        <w:t>The</w:t>
      </w:r>
      <w:r w:rsidR="00063363">
        <w:rPr>
          <w:rFonts w:ascii="Open Sans" w:hAnsi="Open Sans" w:cs="Open Sans"/>
        </w:rPr>
        <w:t xml:space="preserve"> post holder</w:t>
      </w:r>
      <w:r>
        <w:rPr>
          <w:rFonts w:ascii="Open Sans" w:hAnsi="Open Sans" w:cs="Open Sans"/>
        </w:rPr>
        <w:t xml:space="preserve"> will </w:t>
      </w:r>
      <w:r w:rsidR="00E10F58" w:rsidRPr="0029540D">
        <w:rPr>
          <w:rFonts w:ascii="Open Sans" w:hAnsi="Open Sans" w:cs="Open Sans"/>
        </w:rPr>
        <w:t>conduct</w:t>
      </w:r>
      <w:r w:rsidR="0051414D" w:rsidRPr="0029540D">
        <w:rPr>
          <w:rFonts w:ascii="Open Sans" w:hAnsi="Open Sans" w:cs="Open Sans"/>
        </w:rPr>
        <w:t xml:space="preserve"> an initial</w:t>
      </w:r>
      <w:r w:rsidR="0009462E" w:rsidRPr="0029540D">
        <w:rPr>
          <w:rFonts w:ascii="Open Sans" w:hAnsi="Open Sans" w:cs="Open Sans"/>
        </w:rPr>
        <w:t xml:space="preserve"> survey</w:t>
      </w:r>
      <w:r>
        <w:rPr>
          <w:rFonts w:ascii="Open Sans" w:hAnsi="Open Sans" w:cs="Open Sans"/>
        </w:rPr>
        <w:t xml:space="preserve"> of uncatalogued materials</w:t>
      </w:r>
      <w:r w:rsidR="0051414D" w:rsidRPr="0029540D">
        <w:rPr>
          <w:rFonts w:ascii="Open Sans" w:hAnsi="Open Sans" w:cs="Open Sans"/>
        </w:rPr>
        <w:t xml:space="preserve"> </w:t>
      </w:r>
      <w:r w:rsidR="0009462E" w:rsidRPr="0029540D">
        <w:rPr>
          <w:rFonts w:ascii="Open Sans" w:hAnsi="Open Sans" w:cs="Open Sans"/>
        </w:rPr>
        <w:t>and</w:t>
      </w:r>
      <w:r w:rsidR="00E10F58" w:rsidRPr="0029540D">
        <w:rPr>
          <w:rFonts w:ascii="Open Sans" w:hAnsi="Open Sans" w:cs="Open Sans"/>
        </w:rPr>
        <w:t xml:space="preserve"> </w:t>
      </w:r>
      <w:r w:rsidR="0051414D" w:rsidRPr="0029540D">
        <w:rPr>
          <w:rFonts w:ascii="Open Sans" w:hAnsi="Open Sans" w:cs="Open Sans"/>
        </w:rPr>
        <w:t>work</w:t>
      </w:r>
      <w:r>
        <w:rPr>
          <w:rFonts w:ascii="Open Sans" w:hAnsi="Open Sans" w:cs="Open Sans"/>
        </w:rPr>
        <w:t xml:space="preserve"> to</w:t>
      </w:r>
      <w:r w:rsidR="0009462E" w:rsidRPr="0029540D">
        <w:rPr>
          <w:rFonts w:ascii="Open Sans" w:hAnsi="Open Sans" w:cs="Open Sans"/>
        </w:rPr>
        <w:t xml:space="preserve"> enhanc</w:t>
      </w:r>
      <w:r>
        <w:rPr>
          <w:rFonts w:ascii="Open Sans" w:hAnsi="Open Sans" w:cs="Open Sans"/>
        </w:rPr>
        <w:t>e</w:t>
      </w:r>
      <w:r w:rsidR="0009462E" w:rsidRPr="0029540D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existing</w:t>
      </w:r>
      <w:r w:rsidR="0009462E" w:rsidRPr="0029540D">
        <w:rPr>
          <w:rFonts w:ascii="Open Sans" w:hAnsi="Open Sans" w:cs="Open Sans"/>
        </w:rPr>
        <w:t xml:space="preserve"> information about </w:t>
      </w:r>
      <w:r>
        <w:rPr>
          <w:rFonts w:ascii="Open Sans" w:hAnsi="Open Sans" w:cs="Open Sans"/>
        </w:rPr>
        <w:t>their</w:t>
      </w:r>
      <w:r w:rsidR="0009462E" w:rsidRPr="0029540D">
        <w:rPr>
          <w:rFonts w:ascii="Open Sans" w:hAnsi="Open Sans" w:cs="Open Sans"/>
        </w:rPr>
        <w:t xml:space="preserve"> contents</w:t>
      </w:r>
      <w:r>
        <w:rPr>
          <w:rFonts w:ascii="Open Sans" w:hAnsi="Open Sans" w:cs="Open Sans"/>
        </w:rPr>
        <w:t>,</w:t>
      </w:r>
      <w:r w:rsidR="0009462E" w:rsidRPr="0029540D">
        <w:rPr>
          <w:rFonts w:ascii="Open Sans" w:hAnsi="Open Sans" w:cs="Open Sans"/>
        </w:rPr>
        <w:t xml:space="preserve"> with the aim of</w:t>
      </w:r>
      <w:r w:rsidR="0051414D" w:rsidRPr="0029540D">
        <w:rPr>
          <w:rFonts w:ascii="Open Sans" w:hAnsi="Open Sans" w:cs="Open Sans"/>
        </w:rPr>
        <w:t xml:space="preserve"> improving</w:t>
      </w:r>
      <w:r w:rsidR="0009462E" w:rsidRPr="0029540D">
        <w:rPr>
          <w:rFonts w:ascii="Open Sans" w:hAnsi="Open Sans" w:cs="Open Sans"/>
        </w:rPr>
        <w:t xml:space="preserve"> access to the</w:t>
      </w:r>
      <w:r>
        <w:rPr>
          <w:rFonts w:ascii="Open Sans" w:hAnsi="Open Sans" w:cs="Open Sans"/>
        </w:rPr>
        <w:t>se records</w:t>
      </w:r>
      <w:r w:rsidR="0009462E" w:rsidRPr="0029540D">
        <w:rPr>
          <w:rFonts w:ascii="Open Sans" w:hAnsi="Open Sans" w:cs="Open Sans"/>
        </w:rPr>
        <w:t xml:space="preserve">. For the length of the placement, </w:t>
      </w:r>
      <w:r w:rsidR="0051414D" w:rsidRPr="0029540D">
        <w:rPr>
          <w:rFonts w:ascii="Open Sans" w:hAnsi="Open Sans" w:cs="Open Sans"/>
        </w:rPr>
        <w:t>the</w:t>
      </w:r>
      <w:r w:rsidR="0009462E" w:rsidRPr="0029540D">
        <w:rPr>
          <w:rFonts w:ascii="Open Sans" w:hAnsi="Open Sans" w:cs="Open Sans"/>
        </w:rPr>
        <w:t xml:space="preserve"> </w:t>
      </w:r>
      <w:r w:rsidR="0051414D" w:rsidRPr="0029540D">
        <w:rPr>
          <w:rFonts w:ascii="Open Sans" w:hAnsi="Open Sans" w:cs="Open Sans"/>
        </w:rPr>
        <w:t>candidate</w:t>
      </w:r>
      <w:r w:rsidR="0009462E" w:rsidRPr="0029540D">
        <w:rPr>
          <w:rFonts w:ascii="Open Sans" w:hAnsi="Open Sans" w:cs="Open Sans"/>
        </w:rPr>
        <w:t xml:space="preserve"> </w:t>
      </w:r>
      <w:r w:rsidR="0051414D" w:rsidRPr="0029540D">
        <w:rPr>
          <w:rFonts w:ascii="Open Sans" w:hAnsi="Open Sans" w:cs="Open Sans"/>
        </w:rPr>
        <w:t>will be</w:t>
      </w:r>
      <w:r w:rsidR="0009462E" w:rsidRPr="0029540D">
        <w:rPr>
          <w:rFonts w:ascii="Open Sans" w:hAnsi="Open Sans" w:cs="Open Sans"/>
        </w:rPr>
        <w:t xml:space="preserve"> embedded in a small team</w:t>
      </w:r>
      <w:r w:rsidR="0051414D" w:rsidRPr="0029540D">
        <w:rPr>
          <w:rFonts w:ascii="Open Sans" w:hAnsi="Open Sans" w:cs="Open Sans"/>
        </w:rPr>
        <w:t xml:space="preserve"> of experienced specialists </w:t>
      </w:r>
      <w:r w:rsidR="007307ED">
        <w:rPr>
          <w:rFonts w:ascii="Open Sans" w:hAnsi="Open Sans" w:cs="Open Sans"/>
        </w:rPr>
        <w:t>who</w:t>
      </w:r>
      <w:r w:rsidR="0051414D" w:rsidRPr="0029540D">
        <w:rPr>
          <w:rFonts w:ascii="Open Sans" w:hAnsi="Open Sans" w:cs="Open Sans"/>
        </w:rPr>
        <w:t xml:space="preserve"> work on</w:t>
      </w:r>
      <w:r w:rsidR="00E10F58" w:rsidRPr="0029540D">
        <w:rPr>
          <w:rFonts w:ascii="Open Sans" w:hAnsi="Open Sans" w:cs="Open Sans"/>
        </w:rPr>
        <w:t xml:space="preserve"> the</w:t>
      </w:r>
      <w:r w:rsidR="0051414D" w:rsidRPr="0029540D">
        <w:rPr>
          <w:rFonts w:ascii="Open Sans" w:hAnsi="Open Sans" w:cs="Open Sans"/>
        </w:rPr>
        <w:t xml:space="preserve"> High Court of Admiralty</w:t>
      </w:r>
      <w:r w:rsidR="00E10F58" w:rsidRPr="0029540D">
        <w:rPr>
          <w:rFonts w:ascii="Open Sans" w:hAnsi="Open Sans" w:cs="Open Sans"/>
        </w:rPr>
        <w:t>’s</w:t>
      </w:r>
      <w:r w:rsidR="0051414D" w:rsidRPr="0029540D">
        <w:rPr>
          <w:rFonts w:ascii="Open Sans" w:hAnsi="Open Sans" w:cs="Open Sans"/>
        </w:rPr>
        <w:t xml:space="preserve"> records</w:t>
      </w:r>
      <w:r w:rsidR="0009462E" w:rsidRPr="0029540D">
        <w:rPr>
          <w:rFonts w:ascii="Open Sans" w:hAnsi="Open Sans" w:cs="Open Sans"/>
        </w:rPr>
        <w:t xml:space="preserve">. </w:t>
      </w:r>
      <w:r w:rsidR="0051414D" w:rsidRPr="0029540D">
        <w:rPr>
          <w:rFonts w:ascii="Open Sans" w:hAnsi="Open Sans" w:cs="Open Sans"/>
        </w:rPr>
        <w:t>The placement will</w:t>
      </w:r>
      <w:r w:rsidR="00E10F58" w:rsidRPr="0029540D">
        <w:rPr>
          <w:rFonts w:ascii="Open Sans" w:hAnsi="Open Sans" w:cs="Open Sans"/>
        </w:rPr>
        <w:t xml:space="preserve"> also</w:t>
      </w:r>
      <w:r w:rsidR="0051414D" w:rsidRPr="0029540D">
        <w:rPr>
          <w:rFonts w:ascii="Open Sans" w:hAnsi="Open Sans" w:cs="Open Sans"/>
        </w:rPr>
        <w:t xml:space="preserve"> be tailored to the candidate’s interests and future career aims, with the </w:t>
      </w:r>
      <w:r w:rsidR="008C263C" w:rsidRPr="0029540D">
        <w:rPr>
          <w:rFonts w:ascii="Open Sans" w:hAnsi="Open Sans" w:cs="Open Sans"/>
        </w:rPr>
        <w:t>potential</w:t>
      </w:r>
      <w:r w:rsidR="0051414D" w:rsidRPr="0029540D">
        <w:rPr>
          <w:rFonts w:ascii="Open Sans" w:hAnsi="Open Sans" w:cs="Open Sans"/>
        </w:rPr>
        <w:t xml:space="preserve"> to work</w:t>
      </w:r>
      <w:r w:rsidR="00E10F58" w:rsidRPr="0029540D">
        <w:rPr>
          <w:rFonts w:ascii="Open Sans" w:hAnsi="Open Sans" w:cs="Open Sans"/>
        </w:rPr>
        <w:t xml:space="preserve"> on related projects</w:t>
      </w:r>
      <w:r w:rsidR="0051414D" w:rsidRPr="0029540D">
        <w:rPr>
          <w:rFonts w:ascii="Open Sans" w:hAnsi="Open Sans" w:cs="Open Sans"/>
        </w:rPr>
        <w:t xml:space="preserve"> with other departments at TNA, such as </w:t>
      </w:r>
      <w:r w:rsidR="008C263C" w:rsidRPr="0029540D">
        <w:rPr>
          <w:rFonts w:ascii="Open Sans" w:hAnsi="Open Sans" w:cs="Open Sans"/>
        </w:rPr>
        <w:t>public engagement</w:t>
      </w:r>
      <w:r w:rsidR="0051414D" w:rsidRPr="0029540D">
        <w:rPr>
          <w:rFonts w:ascii="Open Sans" w:hAnsi="Open Sans" w:cs="Open Sans"/>
        </w:rPr>
        <w:t>,</w:t>
      </w:r>
      <w:r w:rsidR="00063363">
        <w:rPr>
          <w:rFonts w:ascii="Open Sans" w:hAnsi="Open Sans" w:cs="Open Sans"/>
        </w:rPr>
        <w:t xml:space="preserve"> education and digital content</w:t>
      </w:r>
      <w:r w:rsidR="00E10F58" w:rsidRPr="0029540D">
        <w:rPr>
          <w:rFonts w:ascii="Open Sans" w:hAnsi="Open Sans" w:cs="Open Sans"/>
        </w:rPr>
        <w:t xml:space="preserve"> with the intention of</w:t>
      </w:r>
      <w:r w:rsidR="0051414D" w:rsidRPr="0029540D">
        <w:rPr>
          <w:rFonts w:ascii="Open Sans" w:hAnsi="Open Sans" w:cs="Open Sans"/>
        </w:rPr>
        <w:t xml:space="preserve"> broaden</w:t>
      </w:r>
      <w:r w:rsidR="00E10F58" w:rsidRPr="0029540D">
        <w:rPr>
          <w:rFonts w:ascii="Open Sans" w:hAnsi="Open Sans" w:cs="Open Sans"/>
        </w:rPr>
        <w:t>ing</w:t>
      </w:r>
      <w:r w:rsidR="0051414D" w:rsidRPr="0029540D">
        <w:rPr>
          <w:rFonts w:ascii="Open Sans" w:hAnsi="Open Sans" w:cs="Open Sans"/>
        </w:rPr>
        <w:t xml:space="preserve"> engagement with these records beyond established academic and research communities, in support of our role as archive sector lead.</w:t>
      </w:r>
    </w:p>
    <w:p w14:paraId="4A107345" w14:textId="4B8E845A" w:rsidR="0009462E" w:rsidRPr="0029540D" w:rsidRDefault="0009462E" w:rsidP="0009462E">
      <w:pPr>
        <w:rPr>
          <w:rFonts w:ascii="Open Sans" w:hAnsi="Open Sans" w:cs="Open Sans"/>
        </w:rPr>
      </w:pPr>
      <w:r w:rsidRPr="00656442">
        <w:rPr>
          <w:rFonts w:ascii="Open Sans" w:hAnsi="Open Sans" w:cs="Open Sans"/>
          <w:b/>
          <w:bCs/>
        </w:rPr>
        <w:t>Start &amp; end date of placement</w:t>
      </w:r>
      <w:r w:rsidRPr="0029540D">
        <w:rPr>
          <w:rFonts w:ascii="Open Sans" w:hAnsi="Open Sans" w:cs="Open Sans"/>
        </w:rPr>
        <w:t xml:space="preserve">: </w:t>
      </w:r>
      <w:r w:rsidR="00E10F58" w:rsidRPr="0029540D">
        <w:rPr>
          <w:rFonts w:ascii="Open Sans" w:hAnsi="Open Sans" w:cs="Open Sans"/>
        </w:rPr>
        <w:t xml:space="preserve">dates </w:t>
      </w:r>
      <w:r w:rsidRPr="0029540D">
        <w:rPr>
          <w:rFonts w:ascii="Open Sans" w:hAnsi="Open Sans" w:cs="Open Sans"/>
        </w:rPr>
        <w:t xml:space="preserve">to be agreed with the student, please contact </w:t>
      </w:r>
      <w:hyperlink r:id="rId11" w:history="1">
        <w:r w:rsidRPr="0082486B">
          <w:rPr>
            <w:rStyle w:val="Hyperlink"/>
            <w:rFonts w:ascii="Open Sans" w:hAnsi="Open Sans" w:cs="Open Sans"/>
          </w:rPr>
          <w:t>research@nationalarchives.gov.uk</w:t>
        </w:r>
      </w:hyperlink>
      <w:r w:rsidR="00B81513">
        <w:rPr>
          <w:rFonts w:ascii="Open Sans" w:hAnsi="Open Sans" w:cs="Open Sans"/>
        </w:rPr>
        <w:t>.</w:t>
      </w:r>
    </w:p>
    <w:p w14:paraId="1D63A5C9" w14:textId="77777777" w:rsidR="004B489B" w:rsidRDefault="0009462E" w:rsidP="0009462E">
      <w:pPr>
        <w:rPr>
          <w:rFonts w:ascii="Open Sans" w:hAnsi="Open Sans" w:cs="Open Sans"/>
        </w:rPr>
      </w:pPr>
      <w:r w:rsidRPr="00656442">
        <w:rPr>
          <w:rFonts w:ascii="Open Sans" w:hAnsi="Open Sans" w:cs="Open Sans"/>
          <w:b/>
          <w:bCs/>
        </w:rPr>
        <w:t>Hours of work:</w:t>
      </w:r>
      <w:r w:rsidRPr="0029540D">
        <w:rPr>
          <w:rFonts w:ascii="Open Sans" w:hAnsi="Open Sans" w:cs="Open Sans"/>
        </w:rPr>
        <w:t xml:space="preserve"> </w:t>
      </w:r>
    </w:p>
    <w:p w14:paraId="7422F308" w14:textId="1F1C57DE" w:rsidR="0009462E" w:rsidRPr="0029540D" w:rsidRDefault="0009462E" w:rsidP="0009462E">
      <w:pPr>
        <w:rPr>
          <w:rFonts w:ascii="Open Sans" w:hAnsi="Open Sans" w:cs="Open Sans"/>
        </w:rPr>
      </w:pPr>
      <w:r w:rsidRPr="0029540D">
        <w:rPr>
          <w:rFonts w:ascii="Open Sans" w:hAnsi="Open Sans" w:cs="Open Sans"/>
        </w:rPr>
        <w:t>To be agreed with the student</w:t>
      </w:r>
      <w:r w:rsidR="001918D5" w:rsidRPr="0029540D">
        <w:rPr>
          <w:rFonts w:ascii="Open Sans" w:hAnsi="Open Sans" w:cs="Open Sans"/>
        </w:rPr>
        <w:t xml:space="preserve">. The placement will involve working with original documents onsite, but with the potential for some work to be conducted at home. </w:t>
      </w:r>
    </w:p>
    <w:p w14:paraId="495ACEFA" w14:textId="77777777" w:rsidR="004B489B" w:rsidRDefault="0009462E" w:rsidP="0009462E">
      <w:pPr>
        <w:rPr>
          <w:rFonts w:ascii="Open Sans" w:hAnsi="Open Sans" w:cs="Open Sans"/>
        </w:rPr>
      </w:pPr>
      <w:r w:rsidRPr="00656442">
        <w:rPr>
          <w:rFonts w:ascii="Open Sans" w:hAnsi="Open Sans" w:cs="Open Sans"/>
          <w:b/>
          <w:bCs/>
        </w:rPr>
        <w:lastRenderedPageBreak/>
        <w:t>Essential criteria:</w:t>
      </w:r>
      <w:r w:rsidRPr="0029540D">
        <w:rPr>
          <w:rFonts w:ascii="Open Sans" w:hAnsi="Open Sans" w:cs="Open Sans"/>
        </w:rPr>
        <w:t xml:space="preserve">  </w:t>
      </w:r>
    </w:p>
    <w:p w14:paraId="150C150D" w14:textId="77777777" w:rsidR="00EF1647" w:rsidRDefault="004B489B" w:rsidP="0009462E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T</w:t>
      </w:r>
      <w:r w:rsidR="00E10F58" w:rsidRPr="0029540D">
        <w:rPr>
          <w:rFonts w:ascii="Open Sans" w:hAnsi="Open Sans" w:cs="Open Sans"/>
        </w:rPr>
        <w:t>he</w:t>
      </w:r>
      <w:r w:rsidR="00C4125B" w:rsidRPr="0029540D">
        <w:rPr>
          <w:rFonts w:ascii="Open Sans" w:hAnsi="Open Sans" w:cs="Open Sans"/>
        </w:rPr>
        <w:t xml:space="preserve"> placement</w:t>
      </w:r>
      <w:r w:rsidR="0009462E" w:rsidRPr="0029540D">
        <w:rPr>
          <w:rFonts w:ascii="Open Sans" w:hAnsi="Open Sans" w:cs="Open Sans"/>
        </w:rPr>
        <w:t xml:space="preserve"> will suit students with an interest in</w:t>
      </w:r>
      <w:r w:rsidR="00E10F58" w:rsidRPr="0029540D">
        <w:rPr>
          <w:rFonts w:ascii="Open Sans" w:hAnsi="Open Sans" w:cs="Open Sans"/>
        </w:rPr>
        <w:t xml:space="preserve"> academic and public history, collaborative research,</w:t>
      </w:r>
      <w:r w:rsidR="0009462E" w:rsidRPr="0029540D">
        <w:rPr>
          <w:rFonts w:ascii="Open Sans" w:hAnsi="Open Sans" w:cs="Open Sans"/>
        </w:rPr>
        <w:t xml:space="preserve"> cultural heritage</w:t>
      </w:r>
      <w:r w:rsidR="00E10F58" w:rsidRPr="0029540D">
        <w:rPr>
          <w:rFonts w:ascii="Open Sans" w:hAnsi="Open Sans" w:cs="Open Sans"/>
        </w:rPr>
        <w:t xml:space="preserve"> </w:t>
      </w:r>
      <w:r w:rsidR="0009462E" w:rsidRPr="0029540D">
        <w:rPr>
          <w:rFonts w:ascii="Open Sans" w:hAnsi="Open Sans" w:cs="Open Sans"/>
        </w:rPr>
        <w:t xml:space="preserve">or the GLAM sector. </w:t>
      </w:r>
    </w:p>
    <w:p w14:paraId="5D28573A" w14:textId="77777777" w:rsidR="00EF1647" w:rsidRDefault="0009462E" w:rsidP="0009462E">
      <w:pPr>
        <w:rPr>
          <w:rFonts w:ascii="Open Sans" w:hAnsi="Open Sans" w:cs="Open Sans"/>
        </w:rPr>
      </w:pPr>
      <w:r w:rsidRPr="0029540D">
        <w:rPr>
          <w:rFonts w:ascii="Open Sans" w:hAnsi="Open Sans" w:cs="Open Sans"/>
        </w:rPr>
        <w:t xml:space="preserve">There are no minimum skills requirements, but </w:t>
      </w:r>
      <w:r w:rsidR="00C4125B" w:rsidRPr="0029540D">
        <w:rPr>
          <w:rFonts w:ascii="Open Sans" w:hAnsi="Open Sans" w:cs="Open Sans"/>
        </w:rPr>
        <w:t>a successful placement student</w:t>
      </w:r>
      <w:r w:rsidRPr="0029540D">
        <w:rPr>
          <w:rFonts w:ascii="Open Sans" w:hAnsi="Open Sans" w:cs="Open Sans"/>
        </w:rPr>
        <w:t xml:space="preserve"> will</w:t>
      </w:r>
      <w:r w:rsidR="00C4125B" w:rsidRPr="0029540D">
        <w:rPr>
          <w:rFonts w:ascii="Open Sans" w:hAnsi="Open Sans" w:cs="Open Sans"/>
        </w:rPr>
        <w:t xml:space="preserve"> be able to</w:t>
      </w:r>
      <w:r w:rsidRPr="0029540D">
        <w:rPr>
          <w:rFonts w:ascii="Open Sans" w:hAnsi="Open Sans" w:cs="Open Sans"/>
        </w:rPr>
        <w:t xml:space="preserve"> demonstrate</w:t>
      </w:r>
      <w:r w:rsidR="00EF1647">
        <w:rPr>
          <w:rFonts w:ascii="Open Sans" w:hAnsi="Open Sans" w:cs="Open Sans"/>
        </w:rPr>
        <w:t>:</w:t>
      </w:r>
    </w:p>
    <w:p w14:paraId="60E7AF10" w14:textId="3E0F4A5F" w:rsidR="00EF1647" w:rsidRDefault="00EF1647" w:rsidP="00EF1647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A</w:t>
      </w:r>
      <w:r w:rsidR="0009462E" w:rsidRPr="00EF1647">
        <w:rPr>
          <w:rFonts w:ascii="Open Sans" w:hAnsi="Open Sans" w:cs="Open Sans"/>
        </w:rPr>
        <w:t xml:space="preserve"> keen interest in</w:t>
      </w:r>
      <w:r w:rsidR="00DB4E08" w:rsidRPr="00EF1647">
        <w:rPr>
          <w:rFonts w:ascii="Open Sans" w:hAnsi="Open Sans" w:cs="Open Sans"/>
        </w:rPr>
        <w:t xml:space="preserve"> the histor</w:t>
      </w:r>
      <w:r w:rsidR="00A1436B">
        <w:rPr>
          <w:rFonts w:ascii="Open Sans" w:hAnsi="Open Sans" w:cs="Open Sans"/>
        </w:rPr>
        <w:t>ies</w:t>
      </w:r>
      <w:r w:rsidR="00DB4E08" w:rsidRPr="00EF1647">
        <w:rPr>
          <w:rFonts w:ascii="Open Sans" w:hAnsi="Open Sans" w:cs="Open Sans"/>
        </w:rPr>
        <w:t xml:space="preserve"> of </w:t>
      </w:r>
      <w:r w:rsidR="00A1436B">
        <w:rPr>
          <w:rFonts w:ascii="Open Sans" w:hAnsi="Open Sans" w:cs="Open Sans"/>
        </w:rPr>
        <w:t xml:space="preserve">early modern </w:t>
      </w:r>
      <w:r w:rsidR="00DB4E08" w:rsidRPr="00EF1647">
        <w:rPr>
          <w:rFonts w:ascii="Open Sans" w:hAnsi="Open Sans" w:cs="Open Sans"/>
        </w:rPr>
        <w:t>colonialism,</w:t>
      </w:r>
      <w:r w:rsidR="007307ED">
        <w:rPr>
          <w:rFonts w:ascii="Open Sans" w:hAnsi="Open Sans" w:cs="Open Sans"/>
        </w:rPr>
        <w:t xml:space="preserve"> seafaring,</w:t>
      </w:r>
      <w:r w:rsidR="00DB4E08" w:rsidRPr="00EF1647">
        <w:rPr>
          <w:rFonts w:ascii="Open Sans" w:hAnsi="Open Sans" w:cs="Open Sans"/>
        </w:rPr>
        <w:t xml:space="preserve"> </w:t>
      </w:r>
      <w:r w:rsidR="007307ED">
        <w:rPr>
          <w:rFonts w:ascii="Open Sans" w:hAnsi="Open Sans" w:cs="Open Sans"/>
        </w:rPr>
        <w:t xml:space="preserve">maritime </w:t>
      </w:r>
      <w:r w:rsidR="00DB4E08" w:rsidRPr="00EF1647">
        <w:rPr>
          <w:rFonts w:ascii="Open Sans" w:hAnsi="Open Sans" w:cs="Open Sans"/>
        </w:rPr>
        <w:t>law,</w:t>
      </w:r>
      <w:r w:rsidR="00063363">
        <w:rPr>
          <w:rFonts w:ascii="Open Sans" w:hAnsi="Open Sans" w:cs="Open Sans"/>
        </w:rPr>
        <w:t xml:space="preserve"> linguistics,</w:t>
      </w:r>
      <w:r w:rsidR="007307ED">
        <w:rPr>
          <w:rFonts w:ascii="Open Sans" w:hAnsi="Open Sans" w:cs="Open Sans"/>
        </w:rPr>
        <w:t xml:space="preserve"> overseas migration</w:t>
      </w:r>
      <w:r w:rsidR="00A1436B">
        <w:rPr>
          <w:rFonts w:ascii="Open Sans" w:hAnsi="Open Sans" w:cs="Open Sans"/>
        </w:rPr>
        <w:t xml:space="preserve"> and diasporas</w:t>
      </w:r>
      <w:r w:rsidR="007307ED">
        <w:rPr>
          <w:rFonts w:ascii="Open Sans" w:hAnsi="Open Sans" w:cs="Open Sans"/>
        </w:rPr>
        <w:t xml:space="preserve">, </w:t>
      </w:r>
      <w:r w:rsidR="007307ED" w:rsidRPr="00EF1647">
        <w:rPr>
          <w:rFonts w:ascii="Open Sans" w:hAnsi="Open Sans" w:cs="Open Sans"/>
        </w:rPr>
        <w:t>international trade</w:t>
      </w:r>
      <w:r w:rsidR="00A1436B">
        <w:rPr>
          <w:rFonts w:ascii="Open Sans" w:hAnsi="Open Sans" w:cs="Open Sans"/>
        </w:rPr>
        <w:t>,</w:t>
      </w:r>
      <w:r w:rsidR="007307ED">
        <w:rPr>
          <w:rFonts w:ascii="Open Sans" w:hAnsi="Open Sans" w:cs="Open Sans"/>
        </w:rPr>
        <w:t xml:space="preserve"> and/or</w:t>
      </w:r>
      <w:r w:rsidR="00DB4E08" w:rsidRPr="00EF1647">
        <w:rPr>
          <w:rFonts w:ascii="Open Sans" w:hAnsi="Open Sans" w:cs="Open Sans"/>
        </w:rPr>
        <w:t xml:space="preserve"> piracy.</w:t>
      </w:r>
      <w:r w:rsidR="00C4125B" w:rsidRPr="00EF1647">
        <w:rPr>
          <w:rFonts w:ascii="Open Sans" w:hAnsi="Open Sans" w:cs="Open Sans"/>
        </w:rPr>
        <w:t xml:space="preserve"> </w:t>
      </w:r>
    </w:p>
    <w:p w14:paraId="6A1614F2" w14:textId="7398DDBA" w:rsidR="00EF1647" w:rsidRDefault="008A63C0" w:rsidP="00EF1647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EF1647">
        <w:rPr>
          <w:rFonts w:ascii="Open Sans" w:hAnsi="Open Sans" w:cs="Open Sans"/>
        </w:rPr>
        <w:t>As this placement is focussed on original documents written in 16</w:t>
      </w:r>
      <w:r w:rsidRPr="00A1436B">
        <w:rPr>
          <w:rFonts w:ascii="Open Sans" w:hAnsi="Open Sans" w:cs="Open Sans"/>
          <w:vertAlign w:val="superscript"/>
        </w:rPr>
        <w:t>th</w:t>
      </w:r>
      <w:r w:rsidR="00A1436B">
        <w:rPr>
          <w:rFonts w:ascii="Open Sans" w:hAnsi="Open Sans" w:cs="Open Sans"/>
        </w:rPr>
        <w:t>,</w:t>
      </w:r>
      <w:r w:rsidRPr="00EF1647">
        <w:rPr>
          <w:rFonts w:ascii="Open Sans" w:hAnsi="Open Sans" w:cs="Open Sans"/>
        </w:rPr>
        <w:t xml:space="preserve"> 17</w:t>
      </w:r>
      <w:r w:rsidR="00A1436B" w:rsidRPr="00A1436B">
        <w:rPr>
          <w:rFonts w:ascii="Open Sans" w:hAnsi="Open Sans" w:cs="Open Sans"/>
          <w:vertAlign w:val="superscript"/>
        </w:rPr>
        <w:t>th</w:t>
      </w:r>
      <w:r w:rsidR="00A1436B">
        <w:rPr>
          <w:rFonts w:ascii="Open Sans" w:hAnsi="Open Sans" w:cs="Open Sans"/>
        </w:rPr>
        <w:t xml:space="preserve"> and 18</w:t>
      </w:r>
      <w:r w:rsidR="00A1436B" w:rsidRPr="00A1436B">
        <w:rPr>
          <w:rFonts w:ascii="Open Sans" w:hAnsi="Open Sans" w:cs="Open Sans"/>
          <w:vertAlign w:val="superscript"/>
        </w:rPr>
        <w:t>th</w:t>
      </w:r>
      <w:r w:rsidR="00A1436B">
        <w:rPr>
          <w:rFonts w:ascii="Open Sans" w:hAnsi="Open Sans" w:cs="Open Sans"/>
        </w:rPr>
        <w:t xml:space="preserve"> </w:t>
      </w:r>
      <w:r w:rsidRPr="00EF1647">
        <w:rPr>
          <w:rFonts w:ascii="Open Sans" w:hAnsi="Open Sans" w:cs="Open Sans"/>
        </w:rPr>
        <w:t xml:space="preserve">century handwriting, it would </w:t>
      </w:r>
      <w:r w:rsidR="00BB00ED" w:rsidRPr="00EF1647">
        <w:rPr>
          <w:rFonts w:ascii="Open Sans" w:hAnsi="Open Sans" w:cs="Open Sans"/>
        </w:rPr>
        <w:t xml:space="preserve">be </w:t>
      </w:r>
      <w:r w:rsidRPr="00EF1647">
        <w:rPr>
          <w:rFonts w:ascii="Open Sans" w:hAnsi="Open Sans" w:cs="Open Sans"/>
        </w:rPr>
        <w:t>desirable for the placement student to have some experience of reading handwriting from th</w:t>
      </w:r>
      <w:r w:rsidR="00A1436B">
        <w:rPr>
          <w:rFonts w:ascii="Open Sans" w:hAnsi="Open Sans" w:cs="Open Sans"/>
        </w:rPr>
        <w:t>ese</w:t>
      </w:r>
      <w:r w:rsidRPr="00EF1647">
        <w:rPr>
          <w:rFonts w:ascii="Open Sans" w:hAnsi="Open Sans" w:cs="Open Sans"/>
        </w:rPr>
        <w:t xml:space="preserve"> period</w:t>
      </w:r>
      <w:r w:rsidR="00A1436B">
        <w:rPr>
          <w:rFonts w:ascii="Open Sans" w:hAnsi="Open Sans" w:cs="Open Sans"/>
        </w:rPr>
        <w:t>s</w:t>
      </w:r>
      <w:r w:rsidRPr="00EF1647">
        <w:rPr>
          <w:rFonts w:ascii="Open Sans" w:hAnsi="Open Sans" w:cs="Open Sans"/>
        </w:rPr>
        <w:t xml:space="preserve"> already. If not, the successful candidate will need to be willing and able to learn how to do so quickly, with support from the placement supervisor and team.</w:t>
      </w:r>
      <w:r w:rsidR="00DB4E08" w:rsidRPr="00EF1647">
        <w:rPr>
          <w:rFonts w:ascii="Open Sans" w:hAnsi="Open Sans" w:cs="Open Sans"/>
        </w:rPr>
        <w:t xml:space="preserve"> </w:t>
      </w:r>
    </w:p>
    <w:p w14:paraId="714F8840" w14:textId="77777777" w:rsidR="00063363" w:rsidRDefault="008A63C0" w:rsidP="00EF1647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EF1647">
        <w:rPr>
          <w:rFonts w:ascii="Open Sans" w:hAnsi="Open Sans" w:cs="Open Sans"/>
        </w:rPr>
        <w:t>E</w:t>
      </w:r>
      <w:r w:rsidR="00DB4E08" w:rsidRPr="00EF1647">
        <w:rPr>
          <w:rFonts w:ascii="Open Sans" w:hAnsi="Open Sans" w:cs="Open Sans"/>
        </w:rPr>
        <w:t>xperience of archival research</w:t>
      </w:r>
      <w:r w:rsidRPr="00EF1647">
        <w:rPr>
          <w:rFonts w:ascii="Open Sans" w:hAnsi="Open Sans" w:cs="Open Sans"/>
        </w:rPr>
        <w:t xml:space="preserve"> </w:t>
      </w:r>
      <w:r w:rsidR="001E7E9F">
        <w:rPr>
          <w:rFonts w:ascii="Open Sans" w:hAnsi="Open Sans" w:cs="Open Sans"/>
        </w:rPr>
        <w:t>desirable.</w:t>
      </w:r>
    </w:p>
    <w:p w14:paraId="54869736" w14:textId="7963B17C" w:rsidR="0009462E" w:rsidRPr="00EF1647" w:rsidRDefault="00063363" w:rsidP="00EF1647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Competencies in French, Spanish, Dutch, Swedish and/or Danish also desirable.</w:t>
      </w:r>
      <w:r w:rsidR="00DB4E08" w:rsidRPr="00EF1647">
        <w:rPr>
          <w:rFonts w:ascii="Open Sans" w:hAnsi="Open Sans" w:cs="Open Sans"/>
        </w:rPr>
        <w:t xml:space="preserve"> </w:t>
      </w:r>
    </w:p>
    <w:p w14:paraId="471F650B" w14:textId="77777777" w:rsidR="004B489B" w:rsidRDefault="0009462E" w:rsidP="0009462E">
      <w:pPr>
        <w:rPr>
          <w:rFonts w:ascii="Open Sans" w:hAnsi="Open Sans" w:cs="Open Sans"/>
        </w:rPr>
      </w:pPr>
      <w:r w:rsidRPr="004B489B">
        <w:rPr>
          <w:rFonts w:ascii="Open Sans" w:hAnsi="Open Sans" w:cs="Open Sans"/>
          <w:b/>
          <w:bCs/>
        </w:rPr>
        <w:t>Expected project outcomes:</w:t>
      </w:r>
      <w:r w:rsidRPr="0029540D">
        <w:rPr>
          <w:rFonts w:ascii="Open Sans" w:hAnsi="Open Sans" w:cs="Open Sans"/>
        </w:rPr>
        <w:t xml:space="preserve"> </w:t>
      </w:r>
    </w:p>
    <w:p w14:paraId="0DE74CBB" w14:textId="77777777" w:rsidR="00AD2CA9" w:rsidRPr="006E19D1" w:rsidRDefault="004B489B" w:rsidP="006E19D1">
      <w:pPr>
        <w:rPr>
          <w:rFonts w:ascii="Open Sans" w:hAnsi="Open Sans" w:cs="Open Sans"/>
        </w:rPr>
      </w:pPr>
      <w:r w:rsidRPr="006E19D1">
        <w:rPr>
          <w:rFonts w:ascii="Open Sans" w:hAnsi="Open Sans" w:cs="Open Sans"/>
        </w:rPr>
        <w:t>T</w:t>
      </w:r>
      <w:r w:rsidR="000701C4" w:rsidRPr="006E19D1">
        <w:rPr>
          <w:rFonts w:ascii="Open Sans" w:hAnsi="Open Sans" w:cs="Open Sans"/>
        </w:rPr>
        <w:t xml:space="preserve">he results of the student’s findings </w:t>
      </w:r>
      <w:r w:rsidR="001E7E9F" w:rsidRPr="006E19D1">
        <w:rPr>
          <w:rFonts w:ascii="Open Sans" w:hAnsi="Open Sans" w:cs="Open Sans"/>
        </w:rPr>
        <w:t>will primarily be</w:t>
      </w:r>
      <w:r w:rsidR="000701C4" w:rsidRPr="006E19D1">
        <w:rPr>
          <w:rFonts w:ascii="Open Sans" w:hAnsi="Open Sans" w:cs="Open Sans"/>
        </w:rPr>
        <w:t xml:space="preserve"> used to</w:t>
      </w:r>
      <w:r w:rsidR="00AD2CA9" w:rsidRPr="006E19D1">
        <w:rPr>
          <w:rFonts w:ascii="Open Sans" w:hAnsi="Open Sans" w:cs="Open Sans"/>
        </w:rPr>
        <w:t>:</w:t>
      </w:r>
    </w:p>
    <w:p w14:paraId="2CC62E95" w14:textId="028D583A" w:rsidR="003A3D5B" w:rsidRPr="006E19D1" w:rsidRDefault="006E19D1" w:rsidP="006E19D1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E</w:t>
      </w:r>
      <w:r w:rsidR="000701C4" w:rsidRPr="006E19D1">
        <w:rPr>
          <w:rFonts w:ascii="Open Sans" w:hAnsi="Open Sans" w:cs="Open Sans"/>
        </w:rPr>
        <w:t>nhance our online</w:t>
      </w:r>
      <w:r w:rsidR="0009462E" w:rsidRPr="006E19D1">
        <w:rPr>
          <w:rFonts w:ascii="Open Sans" w:hAnsi="Open Sans" w:cs="Open Sans"/>
        </w:rPr>
        <w:t xml:space="preserve"> cataloguing </w:t>
      </w:r>
      <w:r w:rsidR="000701C4" w:rsidRPr="006E19D1">
        <w:rPr>
          <w:rFonts w:ascii="Open Sans" w:hAnsi="Open Sans" w:cs="Open Sans"/>
        </w:rPr>
        <w:t xml:space="preserve">for the specified collection. </w:t>
      </w:r>
    </w:p>
    <w:p w14:paraId="5B493710" w14:textId="0FBFD77A" w:rsidR="003A3D5B" w:rsidRPr="003A3D5B" w:rsidRDefault="006D4878" w:rsidP="003A3D5B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U</w:t>
      </w:r>
      <w:r w:rsidR="000701C4" w:rsidRPr="003A3D5B">
        <w:rPr>
          <w:rFonts w:ascii="Open Sans" w:hAnsi="Open Sans" w:cs="Open Sans"/>
        </w:rPr>
        <w:t xml:space="preserve">tilise some of the records for publication, </w:t>
      </w:r>
      <w:r w:rsidR="004E6E40">
        <w:rPr>
          <w:rFonts w:ascii="Open Sans" w:hAnsi="Open Sans" w:cs="Open Sans"/>
        </w:rPr>
        <w:t>perhaps as</w:t>
      </w:r>
      <w:r w:rsidR="008C263C" w:rsidRPr="003A3D5B">
        <w:rPr>
          <w:rFonts w:ascii="Open Sans" w:hAnsi="Open Sans" w:cs="Open Sans"/>
        </w:rPr>
        <w:t xml:space="preserve"> blogs</w:t>
      </w:r>
      <w:r w:rsidR="004E6E40">
        <w:rPr>
          <w:rFonts w:ascii="Open Sans" w:hAnsi="Open Sans" w:cs="Open Sans"/>
        </w:rPr>
        <w:t xml:space="preserve"> or educational resources, intended</w:t>
      </w:r>
      <w:r w:rsidR="008C263C" w:rsidRPr="003A3D5B">
        <w:rPr>
          <w:rFonts w:ascii="Open Sans" w:hAnsi="Open Sans" w:cs="Open Sans"/>
        </w:rPr>
        <w:t xml:space="preserve"> </w:t>
      </w:r>
      <w:r w:rsidR="000701C4" w:rsidRPr="003A3D5B">
        <w:rPr>
          <w:rFonts w:ascii="Open Sans" w:hAnsi="Open Sans" w:cs="Open Sans"/>
        </w:rPr>
        <w:t xml:space="preserve">for public </w:t>
      </w:r>
      <w:r w:rsidR="008C263C" w:rsidRPr="003A3D5B">
        <w:rPr>
          <w:rFonts w:ascii="Open Sans" w:hAnsi="Open Sans" w:cs="Open Sans"/>
        </w:rPr>
        <w:t>and</w:t>
      </w:r>
      <w:r w:rsidR="000701C4" w:rsidRPr="003A3D5B">
        <w:rPr>
          <w:rFonts w:ascii="Open Sans" w:hAnsi="Open Sans" w:cs="Open Sans"/>
        </w:rPr>
        <w:t xml:space="preserve"> academic engagement</w:t>
      </w:r>
      <w:r w:rsidR="0009462E" w:rsidRPr="003A3D5B">
        <w:rPr>
          <w:rFonts w:ascii="Open Sans" w:hAnsi="Open Sans" w:cs="Open Sans"/>
        </w:rPr>
        <w:t xml:space="preserve">. </w:t>
      </w:r>
    </w:p>
    <w:p w14:paraId="4A63D5E6" w14:textId="08A9204F" w:rsidR="0009462E" w:rsidRPr="003A3D5B" w:rsidRDefault="000701C4" w:rsidP="003A3D5B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 w:rsidRPr="003A3D5B">
        <w:rPr>
          <w:rFonts w:ascii="Open Sans" w:hAnsi="Open Sans" w:cs="Open Sans"/>
        </w:rPr>
        <w:t>Other expected outcomes will depend on the s</w:t>
      </w:r>
      <w:r w:rsidR="0009462E" w:rsidRPr="003A3D5B">
        <w:rPr>
          <w:rFonts w:ascii="Open Sans" w:hAnsi="Open Sans" w:cs="Open Sans"/>
        </w:rPr>
        <w:t>tudent</w:t>
      </w:r>
      <w:r w:rsidRPr="003A3D5B">
        <w:rPr>
          <w:rFonts w:ascii="Open Sans" w:hAnsi="Open Sans" w:cs="Open Sans"/>
        </w:rPr>
        <w:t>’</w:t>
      </w:r>
      <w:r w:rsidR="0009462E" w:rsidRPr="003A3D5B">
        <w:rPr>
          <w:rFonts w:ascii="Open Sans" w:hAnsi="Open Sans" w:cs="Open Sans"/>
        </w:rPr>
        <w:t xml:space="preserve">s </w:t>
      </w:r>
      <w:r w:rsidRPr="003A3D5B">
        <w:rPr>
          <w:rFonts w:ascii="Open Sans" w:hAnsi="Open Sans" w:cs="Open Sans"/>
        </w:rPr>
        <w:t>interests and any resulting work that they undertake with other departments at TNA</w:t>
      </w:r>
      <w:r w:rsidR="0009462E" w:rsidRPr="003A3D5B">
        <w:rPr>
          <w:rFonts w:ascii="Open Sans" w:hAnsi="Open Sans" w:cs="Open Sans"/>
        </w:rPr>
        <w:t>.</w:t>
      </w:r>
    </w:p>
    <w:p w14:paraId="06AF7DF1" w14:textId="77777777" w:rsidR="00A277F0" w:rsidRDefault="00A277F0" w:rsidP="00A277F0">
      <w:pPr>
        <w:rPr>
          <w:rFonts w:ascii="Open Sans" w:hAnsi="Open Sans" w:cs="Open Sans"/>
          <w:b/>
          <w:bCs/>
        </w:rPr>
      </w:pPr>
    </w:p>
    <w:p w14:paraId="4BF0F63C" w14:textId="33B6CBA6" w:rsidR="00A277F0" w:rsidRDefault="00A277F0" w:rsidP="00A277F0">
      <w:pPr>
        <w:rPr>
          <w:rFonts w:ascii="Open Sans" w:hAnsi="Open Sans" w:cs="Open Sans"/>
        </w:rPr>
      </w:pPr>
      <w:r w:rsidRPr="00ED5982">
        <w:rPr>
          <w:rFonts w:ascii="Open Sans" w:hAnsi="Open Sans" w:cs="Open Sans"/>
        </w:rPr>
        <w:t>For further details, please contact</w:t>
      </w:r>
      <w:r>
        <w:rPr>
          <w:rFonts w:ascii="Open Sans" w:hAnsi="Open Sans" w:cs="Open Sans"/>
        </w:rPr>
        <w:t>:</w:t>
      </w:r>
      <w:r w:rsidRPr="00ED5982">
        <w:rPr>
          <w:rFonts w:ascii="Open Sans" w:hAnsi="Open Sans" w:cs="Open Sans"/>
        </w:rPr>
        <w:t xml:space="preserve"> </w:t>
      </w:r>
      <w:hyperlink r:id="rId12" w:history="1">
        <w:r w:rsidRPr="009C3B8C">
          <w:rPr>
            <w:rStyle w:val="Hyperlink"/>
            <w:rFonts w:ascii="Open Sans" w:hAnsi="Open Sans" w:cs="Open Sans"/>
          </w:rPr>
          <w:t>research@nationalarchives.gov.uk</w:t>
        </w:r>
      </w:hyperlink>
      <w:r>
        <w:rPr>
          <w:rFonts w:ascii="Open Sans" w:hAnsi="Open Sans" w:cs="Open Sans"/>
        </w:rPr>
        <w:t xml:space="preserve"> </w:t>
      </w:r>
    </w:p>
    <w:p w14:paraId="11FCF357" w14:textId="77777777" w:rsidR="00205C65" w:rsidRPr="0029540D" w:rsidRDefault="00205C65" w:rsidP="00205C65">
      <w:pPr>
        <w:rPr>
          <w:rFonts w:ascii="Open Sans" w:hAnsi="Open Sans" w:cs="Open Sans"/>
        </w:rPr>
      </w:pPr>
    </w:p>
    <w:sectPr w:rsidR="00205C65" w:rsidRPr="0029540D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F6F7B" w14:textId="77777777" w:rsidR="006D1FAF" w:rsidRDefault="006D1FAF" w:rsidP="00E10F58">
      <w:pPr>
        <w:spacing w:after="0" w:line="240" w:lineRule="auto"/>
      </w:pPr>
      <w:r>
        <w:separator/>
      </w:r>
    </w:p>
  </w:endnote>
  <w:endnote w:type="continuationSeparator" w:id="0">
    <w:p w14:paraId="11543867" w14:textId="77777777" w:rsidR="006D1FAF" w:rsidRDefault="006D1FAF" w:rsidP="00E1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CFFA5" w14:textId="77777777" w:rsidR="006D1FAF" w:rsidRDefault="006D1FAF" w:rsidP="00E10F58">
      <w:pPr>
        <w:spacing w:after="0" w:line="240" w:lineRule="auto"/>
      </w:pPr>
      <w:r>
        <w:separator/>
      </w:r>
    </w:p>
  </w:footnote>
  <w:footnote w:type="continuationSeparator" w:id="0">
    <w:p w14:paraId="107DE5B0" w14:textId="77777777" w:rsidR="006D1FAF" w:rsidRDefault="006D1FAF" w:rsidP="00E10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0" w:type="dxa"/>
      <w:tblInd w:w="-877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35"/>
      <w:gridCol w:w="3087"/>
      <w:gridCol w:w="764"/>
      <w:gridCol w:w="764"/>
    </w:tblGrid>
    <w:tr w:rsidR="0029540D" w:rsidRPr="0029540D" w14:paraId="3FAE5F51" w14:textId="77777777" w:rsidTr="00FF635B">
      <w:trPr>
        <w:trHeight w:val="488"/>
      </w:trPr>
      <w:tc>
        <w:tcPr>
          <w:tcW w:w="6135" w:type="dxa"/>
          <w:vMerge w:val="restart"/>
        </w:tcPr>
        <w:p w14:paraId="5BA52993" w14:textId="7EFB192E" w:rsidR="0029540D" w:rsidRPr="0029540D" w:rsidRDefault="0029540D" w:rsidP="0029540D">
          <w:pPr>
            <w:pStyle w:val="Header"/>
            <w:rPr>
              <w:rFonts w:ascii="Open Sans" w:hAnsi="Open Sans" w:cs="Open Sans"/>
              <w:b/>
              <w:bCs/>
            </w:rPr>
          </w:pPr>
          <w:r w:rsidRPr="0029540D">
            <w:rPr>
              <w:rFonts w:ascii="Open Sans" w:hAnsi="Open Sans" w:cs="Open Sans"/>
              <w:b/>
              <w:bCs/>
            </w:rPr>
            <w:t xml:space="preserve">Student Placement: </w:t>
          </w:r>
          <w:r w:rsidR="00574BBC">
            <w:rPr>
              <w:rFonts w:ascii="Open Sans" w:hAnsi="Open Sans" w:cs="Open Sans"/>
              <w:b/>
              <w:bCs/>
            </w:rPr>
            <w:t xml:space="preserve">Working with the </w:t>
          </w:r>
          <w:r w:rsidRPr="0029540D">
            <w:rPr>
              <w:rFonts w:ascii="Open Sans" w:hAnsi="Open Sans" w:cs="Open Sans"/>
              <w:b/>
              <w:bCs/>
            </w:rPr>
            <w:t>High Court of Admiralty</w:t>
          </w:r>
          <w:r w:rsidR="00574BBC">
            <w:rPr>
              <w:rFonts w:ascii="Open Sans" w:hAnsi="Open Sans" w:cs="Open Sans"/>
              <w:b/>
              <w:bCs/>
            </w:rPr>
            <w:t xml:space="preserve"> records</w:t>
          </w:r>
        </w:p>
        <w:p w14:paraId="6A38E5B6" w14:textId="77777777" w:rsidR="0029540D" w:rsidRPr="0029540D" w:rsidRDefault="0029540D" w:rsidP="0029540D">
          <w:pPr>
            <w:pStyle w:val="Header"/>
          </w:pPr>
        </w:p>
      </w:tc>
      <w:tc>
        <w:tcPr>
          <w:tcW w:w="3087" w:type="dxa"/>
        </w:tcPr>
        <w:p w14:paraId="23D15F58" w14:textId="77777777" w:rsidR="0029540D" w:rsidRPr="0029540D" w:rsidRDefault="0029540D" w:rsidP="0029540D">
          <w:pPr>
            <w:pStyle w:val="Header"/>
            <w:rPr>
              <w:i/>
              <w:iCs/>
            </w:rPr>
          </w:pPr>
        </w:p>
      </w:tc>
      <w:tc>
        <w:tcPr>
          <w:tcW w:w="764" w:type="dxa"/>
        </w:tcPr>
        <w:p w14:paraId="32437FD9" w14:textId="77777777" w:rsidR="0029540D" w:rsidRPr="0029540D" w:rsidRDefault="0029540D" w:rsidP="0029540D">
          <w:pPr>
            <w:pStyle w:val="Header"/>
            <w:rPr>
              <w:i/>
              <w:iCs/>
            </w:rPr>
          </w:pPr>
        </w:p>
      </w:tc>
      <w:tc>
        <w:tcPr>
          <w:tcW w:w="764" w:type="dxa"/>
        </w:tcPr>
        <w:p w14:paraId="628C693E" w14:textId="77777777" w:rsidR="0029540D" w:rsidRPr="0029540D" w:rsidRDefault="0029540D" w:rsidP="0029540D">
          <w:pPr>
            <w:pStyle w:val="Header"/>
            <w:rPr>
              <w:i/>
              <w:iCs/>
            </w:rPr>
          </w:pPr>
        </w:p>
      </w:tc>
    </w:tr>
    <w:tr w:rsidR="0029540D" w:rsidRPr="0029540D" w14:paraId="65591DBD" w14:textId="77777777" w:rsidTr="00FF635B">
      <w:trPr>
        <w:trHeight w:val="490"/>
      </w:trPr>
      <w:tc>
        <w:tcPr>
          <w:tcW w:w="6135" w:type="dxa"/>
          <w:vMerge/>
        </w:tcPr>
        <w:p w14:paraId="1F8B8091" w14:textId="77777777" w:rsidR="0029540D" w:rsidRPr="0029540D" w:rsidRDefault="0029540D" w:rsidP="0029540D">
          <w:pPr>
            <w:pStyle w:val="Header"/>
            <w:rPr>
              <w:i/>
              <w:iCs/>
            </w:rPr>
          </w:pPr>
        </w:p>
      </w:tc>
      <w:tc>
        <w:tcPr>
          <w:tcW w:w="3087" w:type="dxa"/>
        </w:tcPr>
        <w:p w14:paraId="45D001DC" w14:textId="77777777" w:rsidR="0029540D" w:rsidRPr="0029540D" w:rsidRDefault="0029540D" w:rsidP="0029540D">
          <w:pPr>
            <w:pStyle w:val="Header"/>
            <w:rPr>
              <w:i/>
              <w:iCs/>
            </w:rPr>
          </w:pPr>
        </w:p>
      </w:tc>
      <w:tc>
        <w:tcPr>
          <w:tcW w:w="1528" w:type="dxa"/>
          <w:gridSpan w:val="2"/>
        </w:tcPr>
        <w:p w14:paraId="57E41DD3" w14:textId="77777777" w:rsidR="0029540D" w:rsidRPr="0029540D" w:rsidRDefault="0029540D" w:rsidP="0029540D">
          <w:pPr>
            <w:pStyle w:val="Header"/>
            <w:rPr>
              <w:i/>
              <w:iCs/>
            </w:rPr>
          </w:pPr>
        </w:p>
      </w:tc>
    </w:tr>
    <w:tr w:rsidR="0029540D" w:rsidRPr="0029540D" w14:paraId="2F3562AD" w14:textId="77777777" w:rsidTr="00FF635B">
      <w:trPr>
        <w:trHeight w:val="490"/>
      </w:trPr>
      <w:tc>
        <w:tcPr>
          <w:tcW w:w="6135" w:type="dxa"/>
        </w:tcPr>
        <w:p w14:paraId="26D6BFB1" w14:textId="77777777" w:rsidR="0029540D" w:rsidRPr="0029540D" w:rsidRDefault="0029540D" w:rsidP="0029540D">
          <w:pPr>
            <w:pStyle w:val="Header"/>
            <w:rPr>
              <w:rFonts w:ascii="Open Sans" w:hAnsi="Open Sans" w:cs="Open Sans"/>
              <w:i/>
              <w:iCs/>
            </w:rPr>
          </w:pPr>
          <w:r w:rsidRPr="0029540D">
            <w:rPr>
              <w:rFonts w:ascii="Open Sans" w:hAnsi="Open Sans" w:cs="Open Sans"/>
              <w:i/>
              <w:iCs/>
            </w:rPr>
            <w:t>2023</w:t>
          </w:r>
        </w:p>
      </w:tc>
      <w:tc>
        <w:tcPr>
          <w:tcW w:w="3087" w:type="dxa"/>
        </w:tcPr>
        <w:p w14:paraId="1784AF96" w14:textId="77777777" w:rsidR="0029540D" w:rsidRPr="0029540D" w:rsidRDefault="0029540D" w:rsidP="0029540D">
          <w:pPr>
            <w:pStyle w:val="Header"/>
            <w:rPr>
              <w:i/>
              <w:iCs/>
            </w:rPr>
          </w:pPr>
        </w:p>
      </w:tc>
      <w:tc>
        <w:tcPr>
          <w:tcW w:w="1528" w:type="dxa"/>
          <w:gridSpan w:val="2"/>
        </w:tcPr>
        <w:p w14:paraId="5850CF81" w14:textId="77777777" w:rsidR="0029540D" w:rsidRPr="0029540D" w:rsidRDefault="0029540D" w:rsidP="0029540D">
          <w:pPr>
            <w:pStyle w:val="Header"/>
            <w:rPr>
              <w:i/>
              <w:iCs/>
            </w:rPr>
          </w:pPr>
          <w:r w:rsidRPr="0029540D">
            <w:rPr>
              <w:i/>
              <w:iCs/>
              <w:noProof/>
            </w:rPr>
            <w:drawing>
              <wp:anchor distT="0" distB="0" distL="0" distR="0" simplePos="0" relativeHeight="251659264" behindDoc="1" locked="0" layoutInCell="1" allowOverlap="1" wp14:anchorId="2E176662" wp14:editId="52BF87C8">
                <wp:simplePos x="0" y="0"/>
                <wp:positionH relativeFrom="page">
                  <wp:posOffset>76932</wp:posOffset>
                </wp:positionH>
                <wp:positionV relativeFrom="paragraph">
                  <wp:posOffset>-556944</wp:posOffset>
                </wp:positionV>
                <wp:extent cx="774843" cy="783335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4843" cy="783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2CAD0B0F" w14:textId="77777777" w:rsidR="00DE4B1F" w:rsidRDefault="00DE4B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41779"/>
    <w:multiLevelType w:val="hybridMultilevel"/>
    <w:tmpl w:val="54B4E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754D1"/>
    <w:multiLevelType w:val="hybridMultilevel"/>
    <w:tmpl w:val="25823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55302"/>
    <w:multiLevelType w:val="hybridMultilevel"/>
    <w:tmpl w:val="7520B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B7F8D"/>
    <w:multiLevelType w:val="hybridMultilevel"/>
    <w:tmpl w:val="49F81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181745">
    <w:abstractNumId w:val="1"/>
  </w:num>
  <w:num w:numId="2" w16cid:durableId="1575624504">
    <w:abstractNumId w:val="3"/>
  </w:num>
  <w:num w:numId="3" w16cid:durableId="224949343">
    <w:abstractNumId w:val="0"/>
  </w:num>
  <w:num w:numId="4" w16cid:durableId="1145585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62E"/>
    <w:rsid w:val="00063363"/>
    <w:rsid w:val="000701C4"/>
    <w:rsid w:val="0009462E"/>
    <w:rsid w:val="0010564B"/>
    <w:rsid w:val="001154C6"/>
    <w:rsid w:val="00141BF2"/>
    <w:rsid w:val="001918D5"/>
    <w:rsid w:val="001D22F4"/>
    <w:rsid w:val="001E7E9F"/>
    <w:rsid w:val="00205C65"/>
    <w:rsid w:val="0029540D"/>
    <w:rsid w:val="003A3D5B"/>
    <w:rsid w:val="003C3247"/>
    <w:rsid w:val="003E5FF1"/>
    <w:rsid w:val="004A1BA3"/>
    <w:rsid w:val="004B489B"/>
    <w:rsid w:val="004E6E40"/>
    <w:rsid w:val="00504E47"/>
    <w:rsid w:val="0051414D"/>
    <w:rsid w:val="00574BBC"/>
    <w:rsid w:val="005E1226"/>
    <w:rsid w:val="00656442"/>
    <w:rsid w:val="00667F24"/>
    <w:rsid w:val="00682117"/>
    <w:rsid w:val="006D1FAF"/>
    <w:rsid w:val="006D4878"/>
    <w:rsid w:val="006E19D1"/>
    <w:rsid w:val="007307ED"/>
    <w:rsid w:val="00822121"/>
    <w:rsid w:val="0082486B"/>
    <w:rsid w:val="008A63C0"/>
    <w:rsid w:val="008C263C"/>
    <w:rsid w:val="00930799"/>
    <w:rsid w:val="00A1436B"/>
    <w:rsid w:val="00A277F0"/>
    <w:rsid w:val="00AC2095"/>
    <w:rsid w:val="00AD2CA9"/>
    <w:rsid w:val="00AE67D4"/>
    <w:rsid w:val="00B81513"/>
    <w:rsid w:val="00BB00ED"/>
    <w:rsid w:val="00C4125B"/>
    <w:rsid w:val="00D7335D"/>
    <w:rsid w:val="00D744EA"/>
    <w:rsid w:val="00DB4E08"/>
    <w:rsid w:val="00DE4B1F"/>
    <w:rsid w:val="00E10F58"/>
    <w:rsid w:val="00E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C447F"/>
  <w15:chartTrackingRefBased/>
  <w15:docId w15:val="{9B88B3DE-230D-4C1D-AF87-DC470E82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7D4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5C65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C65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5C65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5C6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5C65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5C65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05C65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05C65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05C65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67D4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05C65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5C65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5C65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05C65"/>
    <w:rPr>
      <w:rFonts w:ascii="Arial" w:eastAsiaTheme="majorEastAsia" w:hAnsi="Arial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05C65"/>
    <w:rPr>
      <w:rFonts w:ascii="Arial" w:eastAsiaTheme="majorEastAsia" w:hAnsi="Arial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05C65"/>
    <w:rPr>
      <w:rFonts w:ascii="Arial" w:eastAsiaTheme="majorEastAsia" w:hAnsi="Arial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05C65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05C65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05C65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05C6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5C65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7D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E67D4"/>
    <w:rPr>
      <w:rFonts w:ascii="Arial" w:eastAsiaTheme="minorEastAsia" w:hAnsi="Arial"/>
      <w:color w:val="5A5A5A" w:themeColor="text1" w:themeTint="A5"/>
      <w:spacing w:val="15"/>
      <w:sz w:val="24"/>
    </w:rPr>
  </w:style>
  <w:style w:type="character" w:styleId="SubtleEmphasis">
    <w:name w:val="Subtle Emphasis"/>
    <w:basedOn w:val="DefaultParagraphFont"/>
    <w:uiPriority w:val="19"/>
    <w:qFormat/>
    <w:rsid w:val="00AE67D4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AE67D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E67D4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AE67D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AE67D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7D4"/>
    <w:rPr>
      <w:rFonts w:ascii="Arial" w:hAnsi="Arial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7D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7D4"/>
    <w:rPr>
      <w:rFonts w:ascii="Arial" w:hAnsi="Arial"/>
      <w:i/>
      <w:iCs/>
      <w:color w:val="5B9BD5" w:themeColor="accent1"/>
      <w:sz w:val="24"/>
    </w:rPr>
  </w:style>
  <w:style w:type="character" w:styleId="SubtleReference">
    <w:name w:val="Subtle Reference"/>
    <w:basedOn w:val="DefaultParagraphFont"/>
    <w:uiPriority w:val="31"/>
    <w:qFormat/>
    <w:rsid w:val="00AE67D4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AE67D4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AE67D4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AE67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73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33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335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3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35D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3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4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B1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DE4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B1F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A277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arch@nationalarchives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../research@nationalarchives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0AE647E2A947429839E6B05EAB8F33" ma:contentTypeVersion="45" ma:contentTypeDescription="Create a new document." ma:contentTypeScope="" ma:versionID="fae552cec3a5fa16912c23db5cb536a7">
  <xsd:schema xmlns:xsd="http://www.w3.org/2001/XMLSchema" xmlns:xs="http://www.w3.org/2001/XMLSchema" xmlns:p="http://schemas.microsoft.com/office/2006/metadata/properties" xmlns:ns1="http://schemas.microsoft.com/sharepoint/v3" xmlns:ns2="a67c0736-5c7f-4174-8dcd-78baf74714be" xmlns:ns3="e5cf91d9-2cb3-48f2-b68f-3e15fcc8228a" targetNamespace="http://schemas.microsoft.com/office/2006/metadata/properties" ma:root="true" ma:fieldsID="73231b74cd6d63d7e133e2a3e44dfbb1" ns1:_="" ns2:_="" ns3:_="">
    <xsd:import namespace="http://schemas.microsoft.com/sharepoint/v3"/>
    <xsd:import namespace="a67c0736-5c7f-4174-8dcd-78baf74714be"/>
    <xsd:import namespace="e5cf91d9-2cb3-48f2-b68f-3e15fcc822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TagEventDat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3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c0736-5c7f-4174-8dcd-78baf74714b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f91d9-2cb3-48f2-b68f-3e15fcc82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75C31A-EFA1-416D-9B87-8431F0E9BDA7}">
  <ds:schemaRefs>
    <ds:schemaRef ds:uri="http://purl.org/dc/dcmitype/"/>
    <ds:schemaRef ds:uri="http://schemas.microsoft.com/sharepoint/v3"/>
    <ds:schemaRef ds:uri="a67c0736-5c7f-4174-8dcd-78baf74714be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e5cf91d9-2cb3-48f2-b68f-3e15fcc8228a"/>
  </ds:schemaRefs>
</ds:datastoreItem>
</file>

<file path=customXml/itemProps2.xml><?xml version="1.0" encoding="utf-8"?>
<ds:datastoreItem xmlns:ds="http://schemas.openxmlformats.org/officeDocument/2006/customXml" ds:itemID="{86D67346-E461-43AF-99EE-27B971A2BA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B8CDE1-B11F-4276-9D5F-519123E5AE3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28D2556-DE12-44FA-8720-1EA4C14EB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67c0736-5c7f-4174-8dcd-78baf74714be"/>
    <ds:schemaRef ds:uri="e5cf91d9-2cb3-48f2-b68f-3e15fcc82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Archives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Finnegan, Oliver</dc:creator>
  <cp:keywords/>
  <dc:description/>
  <cp:lastModifiedBy>Parrant, Rebecca</cp:lastModifiedBy>
  <cp:revision>3</cp:revision>
  <dcterms:created xsi:type="dcterms:W3CDTF">2023-09-20T09:30:00Z</dcterms:created>
  <dcterms:modified xsi:type="dcterms:W3CDTF">2023-09-20T09:33:00Z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c22e59-6e76-40e7-9277-37c464fc6354_Enabled">
    <vt:lpwstr>true</vt:lpwstr>
  </property>
  <property fmtid="{D5CDD505-2E9C-101B-9397-08002B2CF9AE}" pid="3" name="MSIP_Label_61c22e59-6e76-40e7-9277-37c464fc6354_SetDate">
    <vt:lpwstr>2021-11-01T13:11:39Z</vt:lpwstr>
  </property>
  <property fmtid="{D5CDD505-2E9C-101B-9397-08002B2CF9AE}" pid="4" name="MSIP_Label_61c22e59-6e76-40e7-9277-37c464fc6354_Method">
    <vt:lpwstr>Privileged</vt:lpwstr>
  </property>
  <property fmtid="{D5CDD505-2E9C-101B-9397-08002B2CF9AE}" pid="5" name="MSIP_Label_61c22e59-6e76-40e7-9277-37c464fc6354_Name">
    <vt:lpwstr>OFFICIAL</vt:lpwstr>
  </property>
  <property fmtid="{D5CDD505-2E9C-101B-9397-08002B2CF9AE}" pid="6" name="MSIP_Label_61c22e59-6e76-40e7-9277-37c464fc6354_SiteId">
    <vt:lpwstr>f99512c1-fd9f-4475-9896-9a0b3cdc50ec</vt:lpwstr>
  </property>
  <property fmtid="{D5CDD505-2E9C-101B-9397-08002B2CF9AE}" pid="7" name="MSIP_Label_61c22e59-6e76-40e7-9277-37c464fc6354_ActionId">
    <vt:lpwstr>90dd0aa1-8116-4350-9a27-9c2ade3aa693</vt:lpwstr>
  </property>
  <property fmtid="{D5CDD505-2E9C-101B-9397-08002B2CF9AE}" pid="8" name="MSIP_Label_61c22e59-6e76-40e7-9277-37c464fc6354_ContentBits">
    <vt:lpwstr>0</vt:lpwstr>
  </property>
  <property fmtid="{D5CDD505-2E9C-101B-9397-08002B2CF9AE}" pid="9" name="ContentTypeId">
    <vt:lpwstr>0x010100550AE647E2A947429839E6B05EAB8F33</vt:lpwstr>
  </property>
</Properties>
</file>